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400"/>
      </w:pPr>
      <w:r>
        <w:rPr>
          <w:rFonts w:ascii="Arial" w:cs="Arial" w:eastAsia="Arial" w:hAnsi="Arial"/>
          <w:b/>
          <w:bCs/>
          <w:color w:val="C8102E"/>
          <w:sz w:val="40"/>
          <w:szCs w:val="40"/>
        </w:rPr>
        <w:t xml:space="preserve">BURGER KING INDONESIA</w:t>
      </w:r>
    </w:p>
    <w:p>
      <w:pPr>
        <w:spacing w:after="80" w:before="0"/>
      </w:pPr>
      <w:r>
        <w:rPr>
          <w:rFonts w:ascii="Arial" w:cs="Arial" w:eastAsia="Arial" w:hAnsi="Arial"/>
          <w:b/>
          <w:bCs/>
          <w:color w:val="502314"/>
          <w:sz w:val="32"/>
          <w:szCs w:val="32"/>
        </w:rPr>
        <w:t xml:space="preserve">GTM Launch Plan</w:t>
      </w:r>
    </w:p>
    <w:p>
      <w:pPr>
        <w:spacing w:after="60" w:before="0"/>
      </w:pPr>
      <w:r>
        <w:rPr>
          <w:rFonts w:ascii="Arial" w:cs="Arial" w:eastAsia="Arial" w:hAnsi="Arial"/>
          <w:color w:val="888888"/>
          <w:sz w:val="22"/>
          <w:szCs w:val="22"/>
        </w:rPr>
        <w:t xml:space="preserve">Part 4 of 5  —  Loyalty Program GTM Story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7D00" w:sz="3"/>
              <w:left w:val="single" w:color="FF7D00" w:sz="8"/>
              <w:bottom w:val="single" w:color="FF7D00" w:sz="3"/>
              <w:right w:val="single" w:color="FF7D00" w:sz="1"/>
            </w:tcBorders>
            <w:shd w:fill="FFF5E6" w:val="clear"/>
            <w:tcMar>
              <w:top w:type="dxa" w:w="100"/>
              <w:left w:type="dxa" w:w="180"/>
              <w:bottom w:type="dxa" w:w="100"/>
              <w:right w:type="dxa" w:w="180"/>
            </w:tcMar>
          </w:tcPr>
          <w:p>
            <w:r>
              <w:rPr>
                <w:rFonts w:ascii="Arial" w:cs="Arial" w:eastAsia="Arial" w:hAnsi="Arial"/>
                <w:i/>
                <w:iCs/>
                <w:color w:val="1A1A1A"/>
                <w:sz w:val="20"/>
                <w:szCs w:val="20"/>
              </w:rPr>
              <w:t xml:space="preserve">One challenge identified during consumer testing was that customers understood the value of rewards but were often unsure how the program worked. The GTM strategy was designed around two simultaneous goals: education and adoption.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8102E" w:val="clear"/>
            <w:tcMar>
              <w:top w:type="dxa" w:w="120"/>
              <w:left w:type="dxa" w:w="240"/>
              <w:bottom w:type="dxa" w:w="120"/>
              <w:right w:type="dxa" w:w="240"/>
            </w:tcMar>
          </w:tcPr>
          <w:p>
            <w:r>
              <w:rPr>
                <w:rFonts w:ascii="Arial" w:cs="Arial" w:eastAsia="Arial" w:hAnsi="Arial"/>
                <w:b/>
                <w:bCs/>
                <w:color w:val="FFFFFF"/>
                <w:sz w:val="26"/>
                <w:szCs w:val="26"/>
              </w:rPr>
              <w:t xml:space="preserve">Channel Prioritization — Impact / Effort / Cost Matrix</w:t>
            </w:r>
          </w:p>
        </w:tc>
      </w:tr>
    </w:tbl>
    <w:p>
      <w:pPr>
        <w:spacing w:after="0" w:before="80"/>
      </w:pPr>
      <w:r>
        <w:t xml:space="preserve"/>
      </w:r>
    </w:p>
    <w:p>
      <w:pPr>
        <w:spacing w:after="60" w:before="60"/>
      </w:pPr>
      <w:r>
        <w:rPr>
          <w:rFonts w:ascii="Arial" w:cs="Arial" w:eastAsia="Arial" w:hAnsi="Arial"/>
          <w:color w:val="1A1A1A"/>
          <w:sz w:val="20"/>
          <w:szCs w:val="20"/>
        </w:rPr>
        <w:t xml:space="preserve">I mapped all potential activation channels across three dimensions — expected adoption impact, execution effort, and cost — to prioritize where to invest most heavily at launch.</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460"/>
        <w:gridCol w:w="3700"/>
      </w:tblGrid>
      <w:tr>
        <w:tc>
          <w:tcPr>
            <w:tcW w:type="dxa" w:w="2200"/>
            <w:tcBorders>
              <w:top w:val="single" w:color="DDDDDD" w:sz="1"/>
              <w:left w:val="single" w:color="DDDDDD" w:sz="1"/>
              <w:bottom w:val="single" w:color="DDDDDD" w:sz="1"/>
              <w:right w:val="single" w:color="DDDDDD" w:sz="1"/>
            </w:tcBorders>
            <w:shd w:fill="502314" w:val="clear"/>
            <w:tcMar>
              <w:top w:type="dxa" w:w="80"/>
              <w:left w:type="dxa" w:w="120"/>
              <w:bottom w:type="dxa" w:w="80"/>
              <w:right w:type="dxa" w:w="120"/>
            </w:tcMar>
          </w:tcPr>
          <w:p>
            <w:r>
              <w:rPr>
                <w:rFonts w:ascii="Arial" w:cs="Arial" w:eastAsia="Arial" w:hAnsi="Arial"/>
                <w:b/>
                <w:bCs/>
                <w:color w:val="FFFFFF"/>
                <w:sz w:val="18"/>
                <w:szCs w:val="18"/>
              </w:rPr>
              <w:t xml:space="preserve">Channel</w:t>
            </w:r>
          </w:p>
        </w:tc>
        <w:tc>
          <w:tcPr>
            <w:tcW w:type="dxa" w:w="3460"/>
            <w:tcBorders>
              <w:top w:val="single" w:color="DDDDDD" w:sz="1"/>
              <w:left w:val="single" w:color="DDDDDD" w:sz="1"/>
              <w:bottom w:val="single" w:color="DDDDDD" w:sz="1"/>
              <w:right w:val="single" w:color="DDDDDD" w:sz="1"/>
            </w:tcBorders>
            <w:shd w:fill="502314" w:val="clear"/>
            <w:tcMar>
              <w:top w:type="dxa" w:w="80"/>
              <w:left w:type="dxa" w:w="120"/>
              <w:bottom w:type="dxa" w:w="80"/>
              <w:right w:type="dxa" w:w="120"/>
            </w:tcMar>
          </w:tcPr>
          <w:p>
            <w:r>
              <w:rPr>
                <w:rFonts w:ascii="Arial" w:cs="Arial" w:eastAsia="Arial" w:hAnsi="Arial"/>
                <w:b/>
                <w:bCs/>
                <w:color w:val="FFFFFF"/>
                <w:sz w:val="18"/>
                <w:szCs w:val="18"/>
              </w:rPr>
              <w:t xml:space="preserve">Impact / Effort / Cost</w:t>
            </w:r>
          </w:p>
        </w:tc>
        <w:tc>
          <w:tcPr>
            <w:tcW w:type="dxa" w:w="3700"/>
            <w:tcBorders>
              <w:top w:val="single" w:color="DDDDDD" w:sz="1"/>
              <w:left w:val="single" w:color="DDDDDD" w:sz="1"/>
              <w:bottom w:val="single" w:color="DDDDDD" w:sz="1"/>
              <w:right w:val="single" w:color="DDDDDD" w:sz="1"/>
            </w:tcBorders>
            <w:shd w:fill="502314" w:val="clear"/>
            <w:tcMar>
              <w:top w:type="dxa" w:w="80"/>
              <w:left w:type="dxa" w:w="120"/>
              <w:bottom w:type="dxa" w:w="80"/>
              <w:right w:type="dxa" w:w="120"/>
            </w:tcMar>
          </w:tcPr>
          <w:p>
            <w:r>
              <w:rPr>
                <w:rFonts w:ascii="Arial" w:cs="Arial" w:eastAsia="Arial" w:hAnsi="Arial"/>
                <w:b/>
                <w:bCs/>
                <w:color w:val="FFFFFF"/>
                <w:sz w:val="18"/>
                <w:szCs w:val="18"/>
              </w:rPr>
              <w:t xml:space="preserve">Launch Priority</w:t>
            </w:r>
          </w:p>
        </w:tc>
      </w:tr>
      <w:tr>
        <w:tc>
          <w:tcPr>
            <w:tcW w:type="dxa" w:w="22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bCs/>
                <w:color w:val="502314"/>
                <w:sz w:val="18"/>
                <w:szCs w:val="18"/>
              </w:rPr>
              <w:t xml:space="preserve">Checkout in-app nudge</w:t>
            </w:r>
          </w:p>
        </w:tc>
        <w:tc>
          <w:tcPr>
            <w:tcW w:type="dxa" w:w="346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Impact: Very High  |  Effort: Low  |  Cost: Minimal</w:t>
            </w:r>
          </w:p>
        </w:tc>
        <w:tc>
          <w:tcPr>
            <w:tcW w:type="dxa" w:w="37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  Priority 1 — Highest ROI. Captures users at peak purchase intent with zero incremental media cost.</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bCs/>
                <w:color w:val="502314"/>
                <w:sz w:val="18"/>
                <w:szCs w:val="18"/>
              </w:rPr>
              <w:t xml:space="preserve">CRM (push + email)</w:t>
            </w:r>
          </w:p>
        </w:tc>
        <w:tc>
          <w:tcPr>
            <w:tcW w:type="dxa" w:w="34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Impact: High  |  Effort: Medium  |  Cost: Low</w:t>
            </w:r>
          </w:p>
        </w:tc>
        <w:tc>
          <w:tcPr>
            <w:tcW w:type="dxa" w:w="37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  Priority 1 — Direct reach to existing MAUs. Segmented by cohort for highest relevance.</w:t>
            </w:r>
          </w:p>
        </w:tc>
      </w:tr>
      <w:tr>
        <w:tc>
          <w:tcPr>
            <w:tcW w:type="dxa" w:w="22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bCs/>
                <w:color w:val="502314"/>
                <w:sz w:val="18"/>
                <w:szCs w:val="18"/>
              </w:rPr>
              <w:t xml:space="preserve">TikTok influencer</w:t>
            </w:r>
          </w:p>
        </w:tc>
        <w:tc>
          <w:tcPr>
            <w:tcW w:type="dxa" w:w="346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Impact: High  |  Effort: Medium  |  Cost: Medium</w:t>
            </w:r>
          </w:p>
        </w:tc>
        <w:tc>
          <w:tcPr>
            <w:tcW w:type="dxa" w:w="37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  Priority 2 — Indonesia's dominant social platform. Demonstrating how to join and redeem made the program feel easy and real.</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bCs/>
                <w:color w:val="502314"/>
                <w:sz w:val="18"/>
                <w:szCs w:val="18"/>
              </w:rPr>
              <w:t xml:space="preserve">In-store (QR + signage)</w:t>
            </w:r>
          </w:p>
        </w:tc>
        <w:tc>
          <w:tcPr>
            <w:tcW w:type="dxa" w:w="34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Impact: High  |  Effort: High  |  Cost: Medium</w:t>
            </w:r>
          </w:p>
        </w:tc>
        <w:tc>
          <w:tcPr>
            <w:tcW w:type="dxa" w:w="37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  Priority 2 — Reaches non-app users at point of purchase. Critical for bridging digital and physical enrollment.</w:t>
            </w:r>
          </w:p>
        </w:tc>
      </w:tr>
      <w:tr>
        <w:tc>
          <w:tcPr>
            <w:tcW w:type="dxa" w:w="22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bCs/>
                <w:color w:val="502314"/>
                <w:sz w:val="18"/>
                <w:szCs w:val="18"/>
              </w:rPr>
              <w:t xml:space="preserve">Fintech / CPG partnerships</w:t>
            </w:r>
          </w:p>
        </w:tc>
        <w:tc>
          <w:tcPr>
            <w:tcW w:type="dxa" w:w="346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Impact: Medium  |  Effort: High  |  Cost: Low</w:t>
            </w:r>
          </w:p>
        </w:tc>
        <w:tc>
          <w:tcPr>
            <w:tcW w:type="dxa" w:w="37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  Priority 3 — Extended earning opportunities beyond BK visits. Added credibility and widened reach but required significant partnership management.</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bCs/>
                <w:color w:val="502314"/>
                <w:sz w:val="18"/>
                <w:szCs w:val="18"/>
              </w:rPr>
              <w:t xml:space="preserve">Paid social (Instagram / FB)</w:t>
            </w:r>
          </w:p>
        </w:tc>
        <w:tc>
          <w:tcPr>
            <w:tcW w:type="dxa" w:w="34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Impact: Medium  |  Effort: Medium  |  Cost: High</w:t>
            </w:r>
          </w:p>
        </w:tc>
        <w:tc>
          <w:tcPr>
            <w:tcW w:type="dxa" w:w="37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  Priority 3 — Supporting awareness. Not the hero channel but useful for retargeting lapsed users.</w:t>
            </w:r>
          </w:p>
        </w:tc>
      </w:tr>
      <w:tr>
        <w:tc>
          <w:tcPr>
            <w:tcW w:type="dxa" w:w="22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bCs/>
                <w:color w:val="502314"/>
                <w:sz w:val="18"/>
                <w:szCs w:val="18"/>
              </w:rPr>
              <w:t xml:space="preserve">PR</w:t>
            </w:r>
          </w:p>
        </w:tc>
        <w:tc>
          <w:tcPr>
            <w:tcW w:type="dxa" w:w="346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Impact: Low–Medium  |  Effort: Low  |  Cost: Low</w:t>
            </w:r>
          </w:p>
        </w:tc>
        <w:tc>
          <w:tcPr>
            <w:tcW w:type="dxa" w:w="37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  Priority 4 — Brand building and first-launch newsworthy angle. Lower direct adoption impact but supported brand momentum.</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8102E" w:val="clear"/>
            <w:tcMar>
              <w:top w:type="dxa" w:w="120"/>
              <w:left w:type="dxa" w:w="240"/>
              <w:bottom w:type="dxa" w:w="120"/>
              <w:right w:type="dxa" w:w="240"/>
            </w:tcMar>
          </w:tcPr>
          <w:p>
            <w:r>
              <w:rPr>
                <w:rFonts w:ascii="Arial" w:cs="Arial" w:eastAsia="Arial" w:hAnsi="Arial"/>
                <w:b/>
                <w:bCs/>
                <w:color w:val="FFFFFF"/>
                <w:sz w:val="26"/>
                <w:szCs w:val="26"/>
              </w:rPr>
              <w:t xml:space="preserve">Channel Strategy — Owned Channels</w:t>
            </w:r>
          </w:p>
        </w:tc>
      </w:tr>
    </w:tbl>
    <w:p>
      <w:pPr>
        <w:spacing w:after="0" w:before="80"/>
      </w:pPr>
      <w:r>
        <w:t xml:space="preserve"/>
      </w:r>
    </w:p>
    <w:p>
      <w:pPr>
        <w:spacing w:after="80" w:before="220"/>
      </w:pPr>
      <w:r>
        <w:rPr>
          <w:rFonts w:ascii="Arial" w:cs="Arial" w:eastAsia="Arial" w:hAnsi="Arial"/>
          <w:b/>
          <w:bCs/>
          <w:color w:val="C8102E"/>
          <w:sz w:val="24"/>
          <w:szCs w:val="24"/>
        </w:rPr>
        <w:t xml:space="preserve">In-App Enrollment Nudges</w:t>
      </w:r>
    </w:p>
    <w:p>
      <w:pPr>
        <w:spacing w:after="60" w:before="60"/>
      </w:pPr>
      <w:r>
        <w:rPr>
          <w:rFonts w:ascii="Arial" w:cs="Arial" w:eastAsia="Arial" w:hAnsi="Arial"/>
          <w:color w:val="1A1A1A"/>
          <w:sz w:val="20"/>
          <w:szCs w:val="20"/>
        </w:rPr>
        <w:t xml:space="preserve">The highest-converting owned tactic. Loyalty enrollment surfaced at checkout — the highest purchase-intent moment in the app. Tested against home screen and cart page placements; checkout outperformed by 2.3× in enrollment conversion rate.</w:t>
      </w:r>
    </w:p>
    <w:p>
      <w:pPr>
        <w:spacing w:after="0" w:before="40"/>
      </w:pPr>
      <w:r>
        <w:t xml:space="preserve"/>
      </w:r>
    </w:p>
    <w:p>
      <w:pPr>
        <w:pStyle w:val="ListParagraph"/>
        <w:numPr>
          <w:ilvl w:val="0"/>
          <w:numId w:val="2"/>
        </w:numPr>
        <w:spacing w:after="40" w:before="40"/>
      </w:pPr>
      <w:r>
        <w:rPr>
          <w:rFonts w:ascii="Arial" w:cs="Arial" w:eastAsia="Arial" w:hAnsi="Arial"/>
          <w:color w:val="1A1A1A"/>
          <w:sz w:val="20"/>
          <w:szCs w:val="20"/>
        </w:rPr>
        <w:t xml:space="preserve">Checkout banner: 'Join BK Rewards and redeem points on your next order'</w:t>
      </w:r>
    </w:p>
    <w:p>
      <w:pPr>
        <w:pStyle w:val="ListParagraph"/>
        <w:numPr>
          <w:ilvl w:val="0"/>
          <w:numId w:val="2"/>
        </w:numPr>
        <w:spacing w:after="40" w:before="40"/>
      </w:pPr>
      <w:r>
        <w:rPr>
          <w:rFonts w:ascii="Arial" w:cs="Arial" w:eastAsia="Arial" w:hAnsi="Arial"/>
          <w:color w:val="1A1A1A"/>
          <w:sz w:val="20"/>
          <w:szCs w:val="20"/>
        </w:rPr>
        <w:t xml:space="preserve">Post-purchase confirmation: 'You just earned X points. See your rewards.'</w:t>
      </w:r>
    </w:p>
    <w:p>
      <w:pPr>
        <w:pStyle w:val="ListParagraph"/>
        <w:numPr>
          <w:ilvl w:val="0"/>
          <w:numId w:val="2"/>
        </w:numPr>
        <w:spacing w:after="40" w:before="40"/>
      </w:pPr>
      <w:r>
        <w:rPr>
          <w:rFonts w:ascii="Arial" w:cs="Arial" w:eastAsia="Arial" w:hAnsi="Arial"/>
          <w:color w:val="1A1A1A"/>
          <w:sz w:val="20"/>
          <w:szCs w:val="20"/>
        </w:rPr>
        <w:t xml:space="preserve">First-open nudge for new installs: loyalty program introduced in onboarding flow</w:t>
      </w:r>
    </w:p>
    <w:p>
      <w:pPr>
        <w:spacing w:after="0" w:before="80"/>
      </w:pPr>
      <w:r>
        <w:t xml:space="preserve"/>
      </w:r>
    </w:p>
    <w:p>
      <w:pPr>
        <w:spacing w:after="80" w:before="220"/>
      </w:pPr>
      <w:r>
        <w:rPr>
          <w:rFonts w:ascii="Arial" w:cs="Arial" w:eastAsia="Arial" w:hAnsi="Arial"/>
          <w:b/>
          <w:bCs/>
          <w:color w:val="C8102E"/>
          <w:sz w:val="24"/>
          <w:szCs w:val="24"/>
        </w:rPr>
        <w:t xml:space="preserve">CRM Campaigns (Push + Email)</w:t>
      </w:r>
    </w:p>
    <w:p>
      <w:pPr>
        <w:spacing w:after="60" w:before="60"/>
      </w:pPr>
      <w:r>
        <w:rPr>
          <w:rFonts w:ascii="Arial" w:cs="Arial" w:eastAsia="Arial" w:hAnsi="Arial"/>
          <w:color w:val="1A1A1A"/>
          <w:sz w:val="20"/>
          <w:szCs w:val="20"/>
        </w:rPr>
        <w:t xml:space="preserve">Segmented by behavioral cohort. Messaging was personalized by user status — new enrollees received onboarding education sequences; existing members received engagement and redemption nudges; lapsed users received re-activation campaigns.</w:t>
      </w:r>
    </w:p>
    <w:p>
      <w:pPr>
        <w:spacing w:after="0" w:before="40"/>
      </w:pPr>
      <w:r>
        <w:t xml:space="preserve"/>
      </w:r>
    </w:p>
    <w:p>
      <w:pPr>
        <w:pStyle w:val="ListParagraph"/>
        <w:numPr>
          <w:ilvl w:val="0"/>
          <w:numId w:val="2"/>
        </w:numPr>
        <w:spacing w:after="40" w:before="40"/>
      </w:pPr>
      <w:r>
        <w:rPr>
          <w:rFonts w:ascii="Arial" w:cs="Arial" w:eastAsia="Arial" w:hAnsi="Arial"/>
          <w:color w:val="1A1A1A"/>
          <w:sz w:val="20"/>
          <w:szCs w:val="20"/>
        </w:rPr>
        <w:t xml:space="preserve">Enrollment campaign: 3-touchpoint sequence (launch announcement → benefit explainer → 'your rewards are waiting')</w:t>
      </w:r>
    </w:p>
    <w:p>
      <w:pPr>
        <w:pStyle w:val="ListParagraph"/>
        <w:numPr>
          <w:ilvl w:val="0"/>
          <w:numId w:val="2"/>
        </w:numPr>
        <w:spacing w:after="40" w:before="40"/>
      </w:pPr>
      <w:r>
        <w:rPr>
          <w:rFonts w:ascii="Arial" w:cs="Arial" w:eastAsia="Arial" w:hAnsi="Arial"/>
          <w:color w:val="1A1A1A"/>
          <w:sz w:val="20"/>
          <w:szCs w:val="20"/>
        </w:rPr>
        <w:t xml:space="preserve">First redemption campaign: Targeted at enrolled-but-not-redeemed users within 7 days of enrollment</w:t>
      </w:r>
    </w:p>
    <w:p>
      <w:pPr>
        <w:pStyle w:val="ListParagraph"/>
        <w:numPr>
          <w:ilvl w:val="0"/>
          <w:numId w:val="2"/>
        </w:numPr>
        <w:spacing w:after="40" w:before="40"/>
      </w:pPr>
      <w:r>
        <w:rPr>
          <w:rFonts w:ascii="Arial" w:cs="Arial" w:eastAsia="Arial" w:hAnsi="Arial"/>
          <w:color w:val="1A1A1A"/>
          <w:sz w:val="20"/>
          <w:szCs w:val="20"/>
        </w:rPr>
        <w:t xml:space="preserve">Seasonal campaigns: Ramadan and year-end activation with limited-time earning multipliers</w:t>
      </w:r>
    </w:p>
    <w:p>
      <w:pPr>
        <w:spacing w:after="0" w:before="80"/>
      </w:pPr>
      <w:r>
        <w:t xml:space="preserve"/>
      </w:r>
    </w:p>
    <w:p>
      <w:pPr>
        <w:spacing w:after="80" w:before="220"/>
      </w:pPr>
      <w:r>
        <w:rPr>
          <w:rFonts w:ascii="Arial" w:cs="Arial" w:eastAsia="Arial" w:hAnsi="Arial"/>
          <w:b/>
          <w:bCs/>
          <w:color w:val="C8102E"/>
          <w:sz w:val="24"/>
          <w:szCs w:val="24"/>
        </w:rPr>
        <w:t xml:space="preserve">In-App Banners &amp; Reward Visibility</w:t>
      </w:r>
    </w:p>
    <w:p>
      <w:pPr>
        <w:spacing w:after="60" w:before="60"/>
      </w:pPr>
      <w:r>
        <w:rPr>
          <w:rFonts w:ascii="Arial" w:cs="Arial" w:eastAsia="Arial" w:hAnsi="Arial"/>
          <w:color w:val="1A1A1A"/>
          <w:sz w:val="20"/>
          <w:szCs w:val="20"/>
        </w:rPr>
        <w:t xml:space="preserve">Persistent reward balance display added to the home screen and cart page based on Product collaboration driven by research insight that 'out of sight = out of mind' was a major redemption barrier.</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8102E" w:val="clear"/>
            <w:tcMar>
              <w:top w:type="dxa" w:w="120"/>
              <w:left w:type="dxa" w:w="240"/>
              <w:bottom w:type="dxa" w:w="120"/>
              <w:right w:type="dxa" w:w="240"/>
            </w:tcMar>
          </w:tcPr>
          <w:p>
            <w:r>
              <w:rPr>
                <w:rFonts w:ascii="Arial" w:cs="Arial" w:eastAsia="Arial" w:hAnsi="Arial"/>
                <w:b/>
                <w:bCs/>
                <w:color w:val="FFFFFF"/>
                <w:sz w:val="26"/>
                <w:szCs w:val="26"/>
              </w:rPr>
              <w:t xml:space="preserve">Channel Strategy — Paid &amp; Partnership Channels</w:t>
            </w:r>
          </w:p>
        </w:tc>
      </w:tr>
    </w:tbl>
    <w:p>
      <w:pPr>
        <w:spacing w:after="0" w:before="80"/>
      </w:pPr>
      <w:r>
        <w:t xml:space="preserve"/>
      </w:r>
    </w:p>
    <w:p>
      <w:pPr>
        <w:spacing w:after="80" w:before="220"/>
      </w:pPr>
      <w:r>
        <w:rPr>
          <w:rFonts w:ascii="Arial" w:cs="Arial" w:eastAsia="Arial" w:hAnsi="Arial"/>
          <w:b/>
          <w:bCs/>
          <w:color w:val="C8102E"/>
          <w:sz w:val="24"/>
          <w:szCs w:val="24"/>
        </w:rPr>
        <w:t xml:space="preserve">TikTok — Hero Social Channel</w:t>
      </w:r>
    </w:p>
    <w:p>
      <w:pPr>
        <w:spacing w:after="60" w:before="60"/>
      </w:pPr>
      <w:r>
        <w:rPr>
          <w:rFonts w:ascii="Arial" w:cs="Arial" w:eastAsia="Arial" w:hAnsi="Arial"/>
          <w:color w:val="1A1A1A"/>
          <w:sz w:val="20"/>
          <w:szCs w:val="20"/>
        </w:rPr>
        <w:t xml:space="preserve">Indonesia has one of the largest TikTok user bases globally, and the student segment — our primary target — was heavily active on the platform. TikTok became the primary awareness and education channel rather than a promotion channel.</w:t>
      </w:r>
    </w:p>
    <w:p>
      <w:pPr>
        <w:spacing w:after="0" w:before="40"/>
      </w:pPr>
      <w:r>
        <w:t xml:space="preserve"/>
      </w:r>
    </w:p>
    <w:p>
      <w:pPr>
        <w:pStyle w:val="ListParagraph"/>
        <w:numPr>
          <w:ilvl w:val="0"/>
          <w:numId w:val="2"/>
        </w:numPr>
        <w:spacing w:after="40" w:before="40"/>
      </w:pPr>
      <w:r>
        <w:rPr>
          <w:rFonts w:ascii="Arial" w:cs="Arial" w:eastAsia="Arial" w:hAnsi="Arial"/>
          <w:color w:val="1A1A1A"/>
          <w:sz w:val="20"/>
          <w:szCs w:val="20"/>
        </w:rPr>
        <w:t xml:space="preserve">Partnered with local food and lifestyle influencers to demonstrate the join and redemption flow — making the process feel easy and relatable rather than complicated</w:t>
      </w:r>
    </w:p>
    <w:p>
      <w:pPr>
        <w:pStyle w:val="ListParagraph"/>
        <w:numPr>
          <w:ilvl w:val="0"/>
          <w:numId w:val="2"/>
        </w:numPr>
        <w:spacing w:after="40" w:before="40"/>
      </w:pPr>
      <w:r>
        <w:rPr>
          <w:rFonts w:ascii="Arial" w:cs="Arial" w:eastAsia="Arial" w:hAnsi="Arial"/>
          <w:color w:val="1A1A1A"/>
          <w:sz w:val="20"/>
          <w:szCs w:val="20"/>
        </w:rPr>
        <w:t xml:space="preserve">Content strategy: 'How I earned a free Whopper just from ordering my usual' — demonstration-led, not promotional</w:t>
      </w:r>
    </w:p>
    <w:p>
      <w:pPr>
        <w:pStyle w:val="ListParagraph"/>
        <w:numPr>
          <w:ilvl w:val="0"/>
          <w:numId w:val="2"/>
        </w:numPr>
        <w:spacing w:after="40" w:before="40"/>
      </w:pPr>
      <w:r>
        <w:rPr>
          <w:rFonts w:ascii="Arial" w:cs="Arial" w:eastAsia="Arial" w:hAnsi="Arial"/>
          <w:color w:val="1A1A1A"/>
          <w:sz w:val="20"/>
          <w:szCs w:val="20"/>
        </w:rPr>
        <w:t xml:space="preserve">UGC encouraged: Customers sharing their 'King rewards' experience as a social proof loop</w:t>
      </w:r>
    </w:p>
    <w:p>
      <w:pPr>
        <w:spacing w:after="0" w:before="80"/>
      </w:pPr>
      <w:r>
        <w:t xml:space="preserve"/>
      </w:r>
    </w:p>
    <w:p>
      <w:pPr>
        <w:spacing w:after="80" w:before="220"/>
      </w:pPr>
      <w:r>
        <w:rPr>
          <w:rFonts w:ascii="Arial" w:cs="Arial" w:eastAsia="Arial" w:hAnsi="Arial"/>
          <w:b/>
          <w:bCs/>
          <w:color w:val="C8102E"/>
          <w:sz w:val="24"/>
          <w:szCs w:val="24"/>
        </w:rPr>
        <w:t xml:space="preserve">Fintech &amp; CPG Partnerships</w:t>
      </w:r>
    </w:p>
    <w:p>
      <w:pPr>
        <w:spacing w:after="60" w:before="60"/>
      </w:pPr>
      <w:r>
        <w:rPr>
          <w:rFonts w:ascii="Arial" w:cs="Arial" w:eastAsia="Arial" w:hAnsi="Arial"/>
          <w:color w:val="1A1A1A"/>
          <w:sz w:val="20"/>
          <w:szCs w:val="20"/>
        </w:rPr>
        <w:t xml:space="preserve">Created external earning opportunities — customers could earn BK loyalty points through everyday purchases at partner platforms (digital wallets, grocery apps). This extended the loyalty program beyond BK transactions, increasing perceived value and daily touchpoints.</w:t>
      </w:r>
    </w:p>
    <w:p>
      <w:pPr>
        <w:spacing w:after="0" w:before="40"/>
      </w:pPr>
      <w:r>
        <w:t xml:space="preserve"/>
      </w:r>
    </w:p>
    <w:p>
      <w:pPr>
        <w:pStyle w:val="ListParagraph"/>
        <w:numPr>
          <w:ilvl w:val="0"/>
          <w:numId w:val="2"/>
        </w:numPr>
        <w:spacing w:after="40" w:before="40"/>
      </w:pPr>
      <w:r>
        <w:rPr>
          <w:rFonts w:ascii="Arial" w:cs="Arial" w:eastAsia="Arial" w:hAnsi="Arial"/>
          <w:color w:val="1A1A1A"/>
          <w:sz w:val="20"/>
          <w:szCs w:val="20"/>
        </w:rPr>
        <w:t xml:space="preserve">Partnership with leading Indonesian fintech platforms for earn-on-payment mechanics</w:t>
      </w:r>
    </w:p>
    <w:p>
      <w:pPr>
        <w:pStyle w:val="ListParagraph"/>
        <w:numPr>
          <w:ilvl w:val="0"/>
          <w:numId w:val="2"/>
        </w:numPr>
        <w:spacing w:after="40" w:before="40"/>
      </w:pPr>
      <w:r>
        <w:rPr>
          <w:rFonts w:ascii="Arial" w:cs="Arial" w:eastAsia="Arial" w:hAnsi="Arial"/>
          <w:color w:val="1A1A1A"/>
          <w:sz w:val="20"/>
          <w:szCs w:val="20"/>
        </w:rPr>
        <w:t xml:space="preserve">CPG co-promotions: Earn bonus BK points when purchasing partner products at retail</w:t>
      </w:r>
    </w:p>
    <w:p>
      <w:pPr>
        <w:spacing w:after="0" w:before="80"/>
      </w:pPr>
      <w:r>
        <w:t xml:space="preserve"/>
      </w:r>
    </w:p>
    <w:p>
      <w:pPr>
        <w:spacing w:after="80" w:before="220"/>
      </w:pPr>
      <w:r>
        <w:rPr>
          <w:rFonts w:ascii="Arial" w:cs="Arial" w:eastAsia="Arial" w:hAnsi="Arial"/>
          <w:b/>
          <w:bCs/>
          <w:color w:val="C8102E"/>
          <w:sz w:val="24"/>
          <w:szCs w:val="24"/>
        </w:rPr>
        <w:t xml:space="preserve">In-Store Activation</w:t>
      </w:r>
    </w:p>
    <w:p>
      <w:pPr>
        <w:spacing w:after="60" w:before="60"/>
      </w:pPr>
      <w:r>
        <w:rPr>
          <w:rFonts w:ascii="Arial" w:cs="Arial" w:eastAsia="Arial" w:hAnsi="Arial"/>
          <w:color w:val="1A1A1A"/>
          <w:sz w:val="20"/>
          <w:szCs w:val="20"/>
        </w:rPr>
        <w:t xml:space="preserve">Ensured customers encountered the program both digitally and physically — reducing the risk of digital-only awareness gaps.</w:t>
      </w:r>
    </w:p>
    <w:p>
      <w:pPr>
        <w:spacing w:after="0" w:before="40"/>
      </w:pPr>
      <w:r>
        <w:t xml:space="preserve"/>
      </w:r>
    </w:p>
    <w:p>
      <w:pPr>
        <w:pStyle w:val="ListParagraph"/>
        <w:numPr>
          <w:ilvl w:val="0"/>
          <w:numId w:val="2"/>
        </w:numPr>
        <w:spacing w:after="40" w:before="40"/>
      </w:pPr>
      <w:r>
        <w:rPr>
          <w:rFonts w:ascii="Arial" w:cs="Arial" w:eastAsia="Arial" w:hAnsi="Arial"/>
          <w:color w:val="1A1A1A"/>
          <w:sz w:val="20"/>
          <w:szCs w:val="20"/>
        </w:rPr>
        <w:t xml:space="preserve">QR codes at counter and table talkers linking directly to app download + loyalty enrollment</w:t>
      </w:r>
    </w:p>
    <w:p>
      <w:pPr>
        <w:pStyle w:val="ListParagraph"/>
        <w:numPr>
          <w:ilvl w:val="0"/>
          <w:numId w:val="2"/>
        </w:numPr>
        <w:spacing w:after="40" w:before="40"/>
      </w:pPr>
      <w:r>
        <w:rPr>
          <w:rFonts w:ascii="Arial" w:cs="Arial" w:eastAsia="Arial" w:hAnsi="Arial"/>
          <w:color w:val="1A1A1A"/>
          <w:sz w:val="20"/>
          <w:szCs w:val="20"/>
        </w:rPr>
        <w:t xml:space="preserve">Digital menu boards updated with loyalty benefit callouts</w:t>
      </w:r>
    </w:p>
    <w:p>
      <w:pPr>
        <w:pStyle w:val="ListParagraph"/>
        <w:numPr>
          <w:ilvl w:val="0"/>
          <w:numId w:val="2"/>
        </w:numPr>
        <w:spacing w:after="40" w:before="40"/>
      </w:pPr>
      <w:r>
        <w:rPr>
          <w:rFonts w:ascii="Arial" w:cs="Arial" w:eastAsia="Arial" w:hAnsi="Arial"/>
          <w:color w:val="1A1A1A"/>
          <w:sz w:val="20"/>
          <w:szCs w:val="20"/>
        </w:rPr>
        <w:t xml:space="preserve">Staff education program — crew trained to mention loyalty program at point of sale</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8102E" w:val="clear"/>
            <w:tcMar>
              <w:top w:type="dxa" w:w="120"/>
              <w:left w:type="dxa" w:w="240"/>
              <w:bottom w:type="dxa" w:w="120"/>
              <w:right w:type="dxa" w:w="240"/>
            </w:tcMar>
          </w:tcPr>
          <w:p>
            <w:r>
              <w:rPr>
                <w:rFonts w:ascii="Arial" w:cs="Arial" w:eastAsia="Arial" w:hAnsi="Arial"/>
                <w:b/>
                <w:bCs/>
                <w:color w:val="FFFFFF"/>
                <w:sz w:val="26"/>
                <w:szCs w:val="26"/>
              </w:rPr>
              <w:t xml:space="preserve">Cross-Functional Alignment &amp; Launch Governance</w:t>
            </w:r>
          </w:p>
        </w:tc>
      </w:tr>
    </w:tbl>
    <w:p>
      <w:pPr>
        <w:spacing w:after="0" w:before="80"/>
      </w:pPr>
      <w:r>
        <w:t xml:space="preserve"/>
      </w:r>
    </w:p>
    <w:p>
      <w:pPr>
        <w:spacing w:after="80" w:before="220"/>
      </w:pPr>
      <w:r>
        <w:rPr>
          <w:rFonts w:ascii="Arial" w:cs="Arial" w:eastAsia="Arial" w:hAnsi="Arial"/>
          <w:b/>
          <w:bCs/>
          <w:color w:val="C8102E"/>
          <w:sz w:val="24"/>
          <w:szCs w:val="24"/>
        </w:rPr>
        <w:t xml:space="preserve">Alignment Process</w:t>
      </w:r>
    </w:p>
    <w:p>
      <w:pPr>
        <w:spacing w:after="60" w:before="60"/>
      </w:pPr>
      <w:r>
        <w:rPr>
          <w:rFonts w:ascii="Arial" w:cs="Arial" w:eastAsia="Arial" w:hAnsi="Arial"/>
          <w:color w:val="1A1A1A"/>
          <w:sz w:val="20"/>
          <w:szCs w:val="20"/>
        </w:rPr>
        <w:t xml:space="preserve">With 8+ teams involved in the launch, alignment was as critical as execution. I led cross-functional planning sessions where every team reviewed rollout timelines, customer journey flows, KPIs, and their specific execution responsibilities.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DDDDD" w:sz="1"/>
              <w:left w:val="single" w:color="DDDDDD" w:sz="1"/>
              <w:bottom w:val="single" w:color="DDDDDD" w:sz="1"/>
              <w:right w:val="single" w:color="DDDDDD" w:sz="1"/>
            </w:tcBorders>
            <w:shd w:fill="C8102E" w:val="clear"/>
            <w:tcMar>
              <w:top w:type="dxa" w:w="80"/>
              <w:left w:type="dxa" w:w="120"/>
              <w:bottom w:type="dxa" w:w="80"/>
              <w:right w:type="dxa" w:w="120"/>
            </w:tcMar>
          </w:tcPr>
          <w:p>
            <w:r>
              <w:rPr>
                <w:rFonts w:ascii="Arial" w:cs="Arial" w:eastAsia="Arial" w:hAnsi="Arial"/>
                <w:b/>
                <w:bCs/>
                <w:color w:val="FFFFFF"/>
                <w:sz w:val="18"/>
                <w:szCs w:val="18"/>
              </w:rPr>
              <w:t xml:space="preserve">Team</w:t>
            </w:r>
          </w:p>
        </w:tc>
        <w:tc>
          <w:tcPr>
            <w:tcW w:type="dxa" w:w="6560"/>
            <w:tcBorders>
              <w:top w:val="single" w:color="DDDDDD" w:sz="1"/>
              <w:left w:val="single" w:color="DDDDDD" w:sz="1"/>
              <w:bottom w:val="single" w:color="DDDDDD" w:sz="1"/>
              <w:right w:val="single" w:color="DDDDDD" w:sz="1"/>
            </w:tcBorders>
            <w:shd w:fill="C8102E" w:val="clear"/>
            <w:tcMar>
              <w:top w:type="dxa" w:w="80"/>
              <w:left w:type="dxa" w:w="120"/>
              <w:bottom w:type="dxa" w:w="80"/>
              <w:right w:type="dxa" w:w="120"/>
            </w:tcMar>
          </w:tcPr>
          <w:p>
            <w:r>
              <w:rPr>
                <w:rFonts w:ascii="Arial" w:cs="Arial" w:eastAsia="Arial" w:hAnsi="Arial"/>
                <w:b/>
                <w:bCs/>
                <w:color w:val="FFFFFF"/>
                <w:sz w:val="18"/>
                <w:szCs w:val="18"/>
              </w:rPr>
              <w:t xml:space="preserve">Sign-Off Required On</w:t>
            </w:r>
          </w:p>
        </w:tc>
      </w:tr>
      <w:tr>
        <w:tc>
          <w:tcPr>
            <w:tcW w:type="dxa" w:w="28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bCs/>
                <w:color w:val="502314"/>
                <w:sz w:val="18"/>
                <w:szCs w:val="18"/>
              </w:rPr>
              <w:t xml:space="preserve">Finance</w:t>
            </w:r>
          </w:p>
        </w:tc>
        <w:tc>
          <w:tcPr>
            <w:tcW w:type="dxa" w:w="656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color w:val="1A1A1A"/>
                <w:sz w:val="18"/>
                <w:szCs w:val="18"/>
              </w:rPr>
              <w:t xml:space="preserve">Budget approval by phase, revenue uplift model, ROI reporting methodology</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bCs/>
                <w:color w:val="502314"/>
                <w:sz w:val="18"/>
                <w:szCs w:val="18"/>
              </w:rPr>
              <w:t xml:space="preserve">Product &amp; Engineering</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App feature readiness timeline, loyalty earn/redeem integration, beta testing plan</w:t>
            </w:r>
          </w:p>
        </w:tc>
      </w:tr>
      <w:tr>
        <w:tc>
          <w:tcPr>
            <w:tcW w:type="dxa" w:w="28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bCs/>
                <w:color w:val="502314"/>
                <w:sz w:val="18"/>
                <w:szCs w:val="18"/>
              </w:rPr>
              <w:t xml:space="preserve">Operations &amp; Store Teams</w:t>
            </w:r>
          </w:p>
        </w:tc>
        <w:tc>
          <w:tcPr>
            <w:tcW w:type="dxa" w:w="656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color w:val="1A1A1A"/>
                <w:sz w:val="18"/>
                <w:szCs w:val="18"/>
              </w:rPr>
              <w:t xml:space="preserve">In-store QR code deployment timeline, staff training completion, menu board updates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bCs/>
                <w:color w:val="502314"/>
                <w:sz w:val="18"/>
                <w:szCs w:val="18"/>
              </w:rPr>
              <w:t xml:space="preserve">Supply Chain</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Reward item inventory planning — availability at all participating stores before launch</w:t>
            </w:r>
          </w:p>
        </w:tc>
      </w:tr>
      <w:tr>
        <w:tc>
          <w:tcPr>
            <w:tcW w:type="dxa" w:w="280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bCs/>
                <w:color w:val="502314"/>
                <w:sz w:val="18"/>
                <w:szCs w:val="18"/>
              </w:rPr>
              <w:t xml:space="preserve">CRM &amp; Marketing</w:t>
            </w:r>
          </w:p>
        </w:tc>
        <w:tc>
          <w:tcPr>
            <w:tcW w:type="dxa" w:w="656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color w:val="1A1A1A"/>
                <w:sz w:val="18"/>
                <w:szCs w:val="18"/>
              </w:rPr>
              <w:t xml:space="preserve">Campaign calendar, segmented messaging plan, channel execution readiness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bCs/>
                <w:color w:val="502314"/>
                <w:sz w:val="18"/>
                <w:szCs w:val="18"/>
              </w:rPr>
              <w:t xml:space="preserve">Analytics</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KPI dashboard build, cohort tracking setup, reporting cadence</w:t>
            </w:r>
          </w:p>
        </w:tc>
      </w:tr>
    </w:tbl>
    <w:p>
      <w:pPr>
        <w:spacing w:after="0" w:before="80"/>
      </w:pPr>
      <w:r>
        <w:t xml:space="preserve"/>
      </w:r>
    </w:p>
    <w:p>
      <w:pPr>
        <w:spacing w:after="80" w:before="220"/>
      </w:pPr>
      <w:r>
        <w:rPr>
          <w:rFonts w:ascii="Arial" w:cs="Arial" w:eastAsia="Arial" w:hAnsi="Arial"/>
          <w:b/>
          <w:bCs/>
          <w:color w:val="C8102E"/>
          <w:sz w:val="24"/>
          <w:szCs w:val="24"/>
        </w:rPr>
        <w:t xml:space="preserve">Beta Testing Findings &amp; Pre-Launch Fix</w:t>
      </w:r>
    </w:p>
    <w:p>
      <w:pPr>
        <w:spacing w:after="60" w:before="60"/>
      </w:pPr>
      <w:r>
        <w:rPr>
          <w:rFonts w:ascii="Arial" w:cs="Arial" w:eastAsia="Arial" w:hAnsi="Arial"/>
          <w:color w:val="1A1A1A"/>
          <w:sz w:val="20"/>
          <w:szCs w:val="20"/>
        </w:rPr>
        <w:t xml:space="preserve">During beta testing, one critical issue emerged: customers understood how to earn points but were consistently confused about how to redeem them. Left unresolved, this would have directly suppressed the redemption rate target.</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102E" w:sz="3"/>
              <w:left w:val="single" w:color="C8102E" w:sz="8"/>
              <w:bottom w:val="single" w:color="C8102E" w:sz="3"/>
              <w:right w:val="single" w:color="C8102E" w:sz="1"/>
            </w:tcBorders>
            <w:shd w:fill="FFF0F0" w:val="clear"/>
            <w:tcMar>
              <w:top w:type="dxa" w:w="100"/>
              <w:left w:type="dxa" w:w="180"/>
              <w:bottom w:type="dxa" w:w="100"/>
              <w:right w:type="dxa" w:w="180"/>
            </w:tcMar>
          </w:tcPr>
          <w:p>
            <w:r>
              <w:rPr>
                <w:rFonts w:ascii="Arial" w:cs="Arial" w:eastAsia="Arial" w:hAnsi="Arial"/>
                <w:i/>
                <w:iCs/>
                <w:color w:val="1A1A1A"/>
                <w:sz w:val="20"/>
                <w:szCs w:val="20"/>
              </w:rPr>
              <w:t xml:space="preserve">Working with Product and UX, we simplified the redemption flow (reduced steps by 40%), added persistent reward balance visibility on the home screen and cart, and redesigned the onboarding sequence to explicitly walk users through their first redemption before they needed to do it on their own. This was implemented before full launch.</w:t>
            </w:r>
          </w:p>
        </w:tc>
      </w:tr>
    </w:tbl>
    <w:p>
      <w:pPr>
        <w:spacing w:after="0" w:before="80"/>
      </w:pPr>
      <w:r>
        <w:t xml:space="preserve"/>
      </w:r>
    </w:p>
    <w:p>
      <w:pPr>
        <w:spacing w:after="80" w:before="220"/>
      </w:pPr>
      <w:r>
        <w:rPr>
          <w:rFonts w:ascii="Arial" w:cs="Arial" w:eastAsia="Arial" w:hAnsi="Arial"/>
          <w:b/>
          <w:bCs/>
          <w:color w:val="C8102E"/>
          <w:sz w:val="24"/>
          <w:szCs w:val="24"/>
        </w:rPr>
        <w:t xml:space="preserve">Results &amp; Impact</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502314" w:val="clear"/>
            <w:tcMar>
              <w:top w:type="dxa" w:w="80"/>
              <w:left w:type="dxa" w:w="120"/>
              <w:bottom w:type="dxa" w:w="80"/>
              <w:right w:type="dxa" w:w="120"/>
            </w:tcMar>
          </w:tcPr>
          <w:p>
            <w:r>
              <w:rPr>
                <w:rFonts w:ascii="Arial" w:cs="Arial" w:eastAsia="Arial" w:hAnsi="Arial"/>
                <w:b/>
                <w:bCs/>
                <w:color w:val="FFFFFF"/>
                <w:sz w:val="18"/>
                <w:szCs w:val="18"/>
              </w:rPr>
              <w:t xml:space="preserve">Metric</w:t>
            </w:r>
          </w:p>
        </w:tc>
        <w:tc>
          <w:tcPr>
            <w:tcW w:type="dxa" w:w="3120"/>
            <w:tcBorders>
              <w:top w:val="single" w:color="DDDDDD" w:sz="1"/>
              <w:left w:val="single" w:color="DDDDDD" w:sz="1"/>
              <w:bottom w:val="single" w:color="DDDDDD" w:sz="1"/>
              <w:right w:val="single" w:color="DDDDDD" w:sz="1"/>
            </w:tcBorders>
            <w:shd w:fill="502314" w:val="clear"/>
            <w:tcMar>
              <w:top w:type="dxa" w:w="80"/>
              <w:left w:type="dxa" w:w="120"/>
              <w:bottom w:type="dxa" w:w="80"/>
              <w:right w:type="dxa" w:w="120"/>
            </w:tcMar>
          </w:tcPr>
          <w:p>
            <w:r>
              <w:rPr>
                <w:rFonts w:ascii="Arial" w:cs="Arial" w:eastAsia="Arial" w:hAnsi="Arial"/>
                <w:b/>
                <w:bCs/>
                <w:color w:val="FFFFFF"/>
                <w:sz w:val="18"/>
                <w:szCs w:val="18"/>
              </w:rPr>
              <w:t xml:space="preserve">Target</w:t>
            </w:r>
          </w:p>
        </w:tc>
        <w:tc>
          <w:tcPr>
            <w:tcW w:type="dxa" w:w="3120"/>
            <w:tcBorders>
              <w:top w:val="single" w:color="DDDDDD" w:sz="1"/>
              <w:left w:val="single" w:color="DDDDDD" w:sz="1"/>
              <w:bottom w:val="single" w:color="DDDDDD" w:sz="1"/>
              <w:right w:val="single" w:color="DDDDDD" w:sz="1"/>
            </w:tcBorders>
            <w:shd w:fill="502314" w:val="clear"/>
            <w:tcMar>
              <w:top w:type="dxa" w:w="80"/>
              <w:left w:type="dxa" w:w="120"/>
              <w:bottom w:type="dxa" w:w="80"/>
              <w:right w:type="dxa" w:w="120"/>
            </w:tcMar>
          </w:tcPr>
          <w:p>
            <w:r>
              <w:rPr>
                <w:rFonts w:ascii="Arial" w:cs="Arial" w:eastAsia="Arial" w:hAnsi="Arial"/>
                <w:b/>
                <w:bCs/>
                <w:color w:val="FFFFFF"/>
                <w:sz w:val="18"/>
                <w:szCs w:val="18"/>
              </w:rPr>
              <w:t xml:space="preserve">Actual Result</w:t>
            </w:r>
          </w:p>
        </w:tc>
      </w:tr>
      <w:tr>
        <w:tc>
          <w:tcPr>
            <w:tcW w:type="dxa" w:w="312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bCs/>
                <w:color w:val="502314"/>
                <w:sz w:val="18"/>
                <w:szCs w:val="18"/>
              </w:rPr>
              <w:t xml:space="preserve">Loyalty adoption (6 months)</w:t>
            </w:r>
          </w:p>
        </w:tc>
        <w:tc>
          <w:tcPr>
            <w:tcW w:type="dxa" w:w="312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40% of MAUs</w:t>
            </w:r>
          </w:p>
        </w:tc>
        <w:tc>
          <w:tcPr>
            <w:tcW w:type="dxa" w:w="312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42% — exceeded target</w:t>
            </w:r>
          </w:p>
        </w:tc>
      </w:tr>
      <w:tr>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bCs/>
                <w:color w:val="502314"/>
                <w:sz w:val="18"/>
                <w:szCs w:val="18"/>
              </w:rPr>
              <w:t xml:space="preserve">First redemption rate</w:t>
            </w:r>
          </w:p>
        </w:tc>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50–70%</w:t>
            </w:r>
          </w:p>
        </w:tc>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53% — within target range</w:t>
            </w:r>
          </w:p>
        </w:tc>
      </w:tr>
      <w:tr>
        <w:tc>
          <w:tcPr>
            <w:tcW w:type="dxa" w:w="312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bCs/>
                <w:color w:val="502314"/>
                <w:sz w:val="18"/>
                <w:szCs w:val="18"/>
              </w:rPr>
              <w:t xml:space="preserve">90-day repeat purchase rate</w:t>
            </w:r>
          </w:p>
        </w:tc>
        <w:tc>
          <w:tcPr>
            <w:tcW w:type="dxa" w:w="312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+8–10% YoY</w:t>
            </w:r>
          </w:p>
        </w:tc>
        <w:tc>
          <w:tcPr>
            <w:tcW w:type="dxa" w:w="312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+9% YoY</w:t>
            </w:r>
          </w:p>
        </w:tc>
      </w:tr>
      <w:tr>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bCs/>
                <w:color w:val="502314"/>
                <w:sz w:val="18"/>
                <w:szCs w:val="18"/>
              </w:rPr>
              <w:t xml:space="preserve">Revenue uplift (Year 1)</w:t>
            </w:r>
          </w:p>
        </w:tc>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10%</w:t>
            </w:r>
          </w:p>
        </w:tc>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~10% — on target</w:t>
            </w:r>
          </w:p>
        </w:tc>
      </w:tr>
      <w:tr>
        <w:tc>
          <w:tcPr>
            <w:tcW w:type="dxa" w:w="312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bCs/>
                <w:color w:val="502314"/>
                <w:sz w:val="18"/>
                <w:szCs w:val="18"/>
              </w:rPr>
              <w:t xml:space="preserve">Discount support tickets</w:t>
            </w:r>
          </w:p>
        </w:tc>
        <w:tc>
          <w:tcPr>
            <w:tcW w:type="dxa" w:w="312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Reduce dependency</w:t>
            </w:r>
          </w:p>
        </w:tc>
        <w:tc>
          <w:tcPr>
            <w:tcW w:type="dxa" w:w="3120"/>
            <w:tcBorders>
              <w:top w:val="single" w:color="DDDDDD" w:sz="1"/>
              <w:left w:val="single" w:color="DDDDDD" w:sz="1"/>
              <w:bottom w:val="single" w:color="DDDDDD" w:sz="1"/>
              <w:right w:val="single" w:color="DDDDDD" w:sz="1"/>
            </w:tcBorders>
            <w:shd w:fill="F9F5F0" w:val="clear"/>
            <w:tcMar>
              <w:top w:type="dxa" w:w="80"/>
              <w:left w:type="dxa" w:w="120"/>
              <w:bottom w:type="dxa" w:w="80"/>
              <w:right w:type="dxa" w:w="120"/>
            </w:tcMar>
            <w:vAlign w:val="top"/>
          </w:tcPr>
          <w:p>
            <w:r>
              <w:rPr>
                <w:rFonts w:ascii="Arial" w:cs="Arial" w:eastAsia="Arial" w:hAnsi="Arial"/>
                <w:b w:val="false"/>
                <w:bCs w:val="false"/>
                <w:color w:val="1A1A1A"/>
                <w:sz w:val="18"/>
                <w:szCs w:val="18"/>
              </w:rPr>
              <w:t xml:space="preserve">−28% reduction</w:t>
            </w:r>
          </w:p>
        </w:tc>
      </w:tr>
    </w:tbl>
    <w:p>
      <w:pPr>
        <w:spacing w:after="0" w:before="200"/>
      </w:pPr>
      <w:r>
        <w:t xml:space="preserve"/>
      </w:r>
    </w:p>
    <w:p>
      <w:pPr>
        <w:pBdr>
          <w:top w:val="single" w:color="C8102E" w:sz="3"/>
        </w:pBdr>
        <w:spacing w:before="200"/>
        <w:jc w:val="center"/>
      </w:pPr>
      <w:r>
        <w:rPr>
          <w:rFonts w:ascii="Arial" w:cs="Arial" w:eastAsia="Arial" w:hAnsi="Arial"/>
          <w:i/>
          <w:iCs/>
          <w:color w:val="888888"/>
          <w:sz w:val="16"/>
          <w:szCs w:val="16"/>
        </w:rPr>
        <w:t xml:space="preserve">Burger King Indonesia — GTM Launch Plan  |  PMM Work Sample  |  Kitty Rastogi</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2"/>
      </w:pBdr>
      <w:jc w:val="right"/>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  Kitty Rastogi  |  PMM Work Sample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102E" w:sz="3"/>
      </w:pBdr>
      <w:tabs>
        <w:tab w:val="right" w:pos="9360"/>
      </w:tabs>
    </w:pPr>
    <w:r>
      <w:rPr>
        <w:rFonts w:ascii="Arial" w:cs="Arial" w:eastAsia="Arial" w:hAnsi="Arial"/>
        <w:b/>
        <w:bCs/>
        <w:color w:val="502314"/>
        <w:sz w:val="18"/>
        <w:szCs w:val="18"/>
      </w:rPr>
      <w:t xml:space="preserve">Burger King Indonesia  |  First Loyalty Program Launch</w:t>
    </w:r>
    <w:r>
      <w:rPr>
        <w:rFonts w:ascii="Arial" w:cs="Arial" w:eastAsia="Arial" w:hAnsi="Arial"/>
        <w:color w:val="888888"/>
        <w:sz w:val="16"/>
        <w:szCs w:val="16"/>
      </w:rPr>
      <w:t xml:space="preserve">		Part 4 — GTM Launch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00"/>
      <w:outlineLvl w:val="0"/>
    </w:pPr>
    <w:rPr>
      <w:rFonts w:ascii="Arial" w:cs="Arial" w:eastAsia="Arial" w:hAnsi="Arial"/>
      <w:b/>
      <w:bCs/>
      <w:color w:val="502314"/>
      <w:sz w:val="34"/>
      <w:szCs w:val="34"/>
    </w:rPr>
  </w:style>
  <w:style w:type="paragraph" w:styleId="Heading2">
    <w:name w:val="Heading 2"/>
    <w:basedOn w:val="Normal"/>
    <w:next w:val="Normal"/>
    <w:qFormat/>
    <w:pPr>
      <w:spacing w:after="80" w:before="220"/>
      <w:outlineLvl w:val="1"/>
    </w:pPr>
    <w:rPr>
      <w:rFonts w:ascii="Arial" w:cs="Arial" w:eastAsia="Arial" w:hAnsi="Arial"/>
      <w:b/>
      <w:bCs/>
      <w:color w:val="C810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2026-06-27T22:09:52.594Z</dcterms:created>
  <dcterms:modified xsi:type="dcterms:W3CDTF">2026-06-27T22:09:52.594Z</dcterms:modified>
</cp:coreProperties>
</file>

<file path=docProps/custom.xml><?xml version="1.0" encoding="utf-8"?>
<Properties xmlns="http://schemas.openxmlformats.org/officeDocument/2006/custom-properties" xmlns:vt="http://schemas.openxmlformats.org/officeDocument/2006/docPropsVTypes"/>
</file>