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00"/>
      </w:pPr>
      <w:r>
        <w:rPr>
          <w:rFonts w:ascii="Arial" w:cs="Arial" w:eastAsia="Arial" w:hAnsi="Arial"/>
          <w:b/>
          <w:bCs/>
          <w:color w:val="C8102E"/>
          <w:sz w:val="40"/>
          <w:szCs w:val="40"/>
        </w:rPr>
        <w:t xml:space="preserve">BURGER KING INDONESIA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502314"/>
          <w:sz w:val="32"/>
          <w:szCs w:val="32"/>
        </w:rPr>
        <w:t xml:space="preserve">First Loyalty Program Launch</w:t>
      </w:r>
    </w:p>
    <w:p>
      <w:pPr>
        <w:spacing w:after="60" w:before="0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Part 1 of 5  —  Marketing Brief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Prepared by: Kitty Rastogi  |  Role: Product &amp; Growth Marketing  |  2023</w:t>
      </w:r>
    </w:p>
    <w:p>
      <w:pPr>
        <w:spacing w:after="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7D00" w:sz="3"/>
              <w:left w:val="single" w:color="FF7D00" w:sz="8"/>
              <w:bottom w:val="single" w:color="FF7D00" w:sz="3"/>
              <w:right w:val="single" w:color="FF7D00" w:sz="1"/>
            </w:tcBorders>
            <w:shd w:fill="FFF5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"This wasn't just a loyalty feature launch. It was a multi-year investment to shift consumer behavior, reduce coupon dependency, and build a sustainable engine for customer lifetime value."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1.  Business Context &amp; Opportunity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Background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Burger King Indonesia's mobile app had been live for 3–4 years. App downloads were growing steadily and customer acquisition remained strong. However, retention lagged 30–40% below target, and repeat purchase behavior was heavily dependent on short-term promotions and coupon campaigns.</w:t>
      </w:r>
    </w:p>
    <w:p>
      <w:pPr>
        <w:spacing w:after="0" w:before="4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Competitors — McDonald's, KFC, and Starbucks — had already established well-performing loyalty programs that were visibly driving repeat visits and engagement. This validated that the Indonesian market was ready for a loyalty-led retention strategy.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Signal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Implication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App downloads strong, retention weak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Acquisition wasn't the problem — we needed a retention engine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30–40% below retention target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Status quo (coupons + promotions) was not a sustainable strategy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Competitors had live loyalty programs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Market timing was right; further delay was a competitive risk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Users were promotion-driven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Behavior change was needed — not just another short-term campaign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Strategic Framing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From the outset, this program was framed as a long-term business investment — not a marketing campaign. The opportunity was to:</w:t>
      </w:r>
    </w:p>
    <w:p>
      <w:pPr>
        <w:spacing w:after="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Shift Burger King from a coupon-heavy, promotion-dependent brand to a loyalty-driven business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Build a sustainable retention engine capable of increasing Customer Lifetime Value (CLV)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Create a program that could drive ~20% of revenue through loyalty-linked transactions within 3 years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Reduce reliance on discounting as the primary lever for customer engagement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102E" w:sz="3"/>
              <w:left w:val="single" w:color="C8102E" w:sz="8"/>
              <w:bottom w:val="single" w:color="C8102E" w:sz="3"/>
              <w:right w:val="single" w:color="C8102E" w:sz="1"/>
            </w:tcBorders>
            <w:shd w:fill="FFF0F0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The goal wasn't to launch a feature. It was to build a long-term growth engine that could durably change how customers engaged with Burger King.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2.  Program Objectives &amp; Success Metrics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Phased Goal Framework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To align Finance, Marketing, Product, and Operations stakeholders, I built a phased investment model tied to measurable business outcomes. This gave stakeholders a clear view of both near-term launch expectations and long-term return on investment.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780"/>
        <w:gridCol w:w="378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Horizon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Goal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Success Metric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6 Months
(Launch Phase)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Drive rapid adoption and validate redemption behavior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40% loyalty adoption among MAUs
50–70% first redemption rate
10% revenue lift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12 Months
(Growth Phase)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Improve retention and reduce promotion dependency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9% improvement in 90-day repeat purchase rate YoY
Reduced discount-led CRM spend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3 Years
(Transformation)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Shift BK from promotion-led to loyalty-driven business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~20% of revenue through loyalty-linked transactions
Sustainable CLV growth without constant discounting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3.  Target Audience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Primary Segments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worked with the Analytics team to segment the existing user base and identify which cohorts had the highest potential for loyalty adoption and long-term value.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780"/>
        <w:gridCol w:w="378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Segment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Profile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Why They Matter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Students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18–24 years old, high purchase frequency, digitally native, price-sensitive, socially active on TikTok and Instagram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Highest purchase frequency relative to spend, most responsive to reward-based engagement, strong word-of-mouth multiplier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Repeat App Users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Customers with 2–4 purchases/month, already engaged with the app, coupon users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Easiest to convert to loyalty — already have app habit, need a reason to return without a coupon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Lapsed Users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Downloaded app, made 1–2 purchases, then dropped off</w:t>
            </w:r>
          </w:p>
        </w:tc>
        <w:tc>
          <w:tcPr>
            <w:tcW w:type="dxa" w:w="37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Re-engagement opportunity — loyalty benefits as a re-activation hook</w:t>
            </w:r>
          </w:p>
        </w:tc>
      </w:tr>
    </w:tbl>
    <w:p>
      <w:pPr>
        <w:spacing w:after="0" w:before="10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Primary Target for Launch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F7D00" w:sz="3"/>
              <w:left w:val="single" w:color="FF7D00" w:sz="8"/>
              <w:bottom w:val="single" w:color="FF7D00" w:sz="3"/>
              <w:right w:val="single" w:color="FF7D00" w:sz="1"/>
            </w:tcBorders>
            <w:shd w:fill="FFF5E6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1A1A1A"/>
                <w:sz w:val="20"/>
                <w:szCs w:val="20"/>
              </w:rPr>
              <w:t xml:space="preserve">Students and repeat app users were identified as the primary launch targets. Students for frequency and social amplification; repeat users for conversion efficiency and near-term retention impact.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4.  Budget Phasing Framework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C8102E"/>
          <w:sz w:val="24"/>
          <w:szCs w:val="24"/>
        </w:rPr>
        <w:t xml:space="preserve">Methodology</w:t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 built the budget using a target-based methodology — working backwards from adoption, redemption, and revenue goals rather than starting from a fixed spend pool. This ensured resource allocation was tied to outcomes rather than historical precedent.</w:t>
      </w:r>
    </w:p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810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Investment Rationale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Launch Phase
(Months 1–6)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Heaviest investment period. Spend concentrated on adoption, education, and channel activation. Push notifications, TikTok influencer campaigns, in-store QR code rollout, fintech/CPG partnership activations, and CRM onboarding sequences all ran simultaneously.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Sustenance Phase
(Months 7–12)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Lighter maintenance spend. Focus shifts from acquisition to engagement and retention. CRM-led re-engagement, loyalty milestone rewards, personalized push campaigns for at-risk segments.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Seasonal Spikes
(Ongoing)</w:t>
            </w:r>
          </w:p>
        </w:tc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Incremental budget allocated to Ramadan and major holidays — peak purchase intent windows. Loyalty-linked promotions designed to accelerate point earning and boost redemption during high-traffic periods.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Budget approval was secured through alignment sessions with Finance, Marketing, and Operations — with sign-off from each function before launch was greenlit.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8102E" w:val="clear"/>
            <w:tcMar>
              <w:top w:type="dxa" w:w="120"/>
              <w:left w:type="dxa" w:w="240"/>
              <w:bottom w:type="dxa" w:w="12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5.  Stakeholders &amp; Roles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680"/>
        <w:gridCol w:w="3480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Team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 in Program</w:t>
            </w:r>
          </w:p>
        </w:tc>
        <w:tc>
          <w:tcPr>
            <w:tcW w:type="dxa" w:w="3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50231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Dependency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Product &amp; Engineering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App integration, loyalty earn/redeem mechanics, onboarding flow, in-app visibility</w:t>
            </w:r>
          </w:p>
        </w:tc>
        <w:tc>
          <w:tcPr>
            <w:tcW w:type="dxa" w:w="3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Feature readiness timeline, beta testing support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Marketing &amp; CRM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Channel execution, push notifications, email campaigns, influencer partnerships</w:t>
            </w:r>
          </w:p>
        </w:tc>
        <w:tc>
          <w:tcPr>
            <w:tcW w:type="dxa" w:w="3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Messaging alignment, campaign calendar coordination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Finance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Budget approval, P&amp;L modeling, ROI tracking</w:t>
            </w:r>
          </w:p>
        </w:tc>
        <w:tc>
          <w:tcPr>
            <w:tcW w:type="dxa" w:w="3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Phased investment sign-off, revenue uplift reporting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Operations &amp; Store Teams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In-store QR code deployment, menu board updates, staff education</w:t>
            </w:r>
          </w:p>
        </w:tc>
        <w:tc>
          <w:tcPr>
            <w:tcW w:type="dxa" w:w="3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Physical activation readiness before launch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Supply Chain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Reward redemption inventory planning</w:t>
            </w:r>
          </w:p>
        </w:tc>
        <w:tc>
          <w:tcPr>
            <w:tcW w:type="dxa" w:w="3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9F5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Ensure reward items available at point of redemption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502314"/>
                <w:sz w:val="18"/>
                <w:szCs w:val="18"/>
              </w:rPr>
              <w:t xml:space="preserve">Analytics</w:t>
            </w:r>
          </w:p>
        </w:tc>
        <w:tc>
          <w:tcPr>
            <w:tcW w:type="dxa" w:w="36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Customer segmentation, KPI dashboards, cohort analysis</w:t>
            </w:r>
          </w:p>
        </w:tc>
        <w:tc>
          <w:tcPr>
            <w:tcW w:type="dxa" w:w="3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Data infrastructure for loyalty tracking from day one</w:t>
            </w:r>
          </w:p>
        </w:tc>
      </w:tr>
    </w:tbl>
    <w:p>
      <w:pPr>
        <w:spacing w:after="0" w:before="200"/>
      </w:pPr>
      <w:r>
        <w:t xml:space="preserve"/>
      </w:r>
    </w:p>
    <w:p>
      <w:pPr>
        <w:pBdr>
          <w:top w:val="single" w:color="C8102E" w:sz="3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Burger King Indonesia — Loyalty Program Marketing Brief  |  PMM Work Sample  |  Kitty Rastogi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/>
      </w:pBd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 |  Kitty Rastogi  |  PMM Work Sample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102E" w:sz="3"/>
      </w:pBdr>
      <w:tabs>
        <w:tab w:val="right" w:pos="9360"/>
      </w:tabs>
    </w:pPr>
    <w:r>
      <w:rPr>
        <w:rFonts w:ascii="Arial" w:cs="Arial" w:eastAsia="Arial" w:hAnsi="Arial"/>
        <w:b/>
        <w:bCs/>
        <w:color w:val="502314"/>
        <w:sz w:val="18"/>
        <w:szCs w:val="18"/>
      </w:rPr>
      <w:t xml:space="preserve">Burger King Indonesia  |  First Loyalty Program Launch</w:t>
    </w:r>
    <w:r>
      <w:rPr>
        <w:rFonts w:ascii="Arial" w:cs="Arial" w:eastAsia="Arial" w:hAnsi="Arial"/>
        <w:color w:val="888888"/>
        <w:sz w:val="16"/>
        <w:szCs w:val="16"/>
      </w:rPr>
      <w:t xml:space="preserve">		Part 1 — Marketing Brief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00"/>
      <w:outlineLvl w:val="0"/>
    </w:pPr>
    <w:rPr>
      <w:rFonts w:ascii="Arial" w:cs="Arial" w:eastAsia="Arial" w:hAnsi="Arial"/>
      <w:b/>
      <w:bCs/>
      <w:color w:val="502314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80" w:before="220"/>
      <w:outlineLvl w:val="1"/>
    </w:pPr>
    <w:rPr>
      <w:rFonts w:ascii="Arial" w:cs="Arial" w:eastAsia="Arial" w:hAnsi="Arial"/>
      <w:b/>
      <w:bCs/>
      <w:color w:val="C810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2026-06-27T22:09:52.348Z</dcterms:created>
  <dcterms:modified xsi:type="dcterms:W3CDTF">2026-06-27T22:09:52.352Z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